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华文中宋" w:hAnsi="华文中宋" w:eastAsia="华文中宋"/>
          <w:b/>
          <w:bCs/>
          <w:sz w:val="28"/>
          <w:szCs w:val="28"/>
          <w:lang w:eastAsia="zh-CN"/>
        </w:rPr>
      </w:pPr>
      <w:r>
        <w:rPr>
          <w:rFonts w:hint="eastAsia" w:ascii="华文中宋" w:hAnsi="华文中宋" w:eastAsia="华文中宋"/>
          <w:b/>
          <w:bCs/>
          <w:sz w:val="28"/>
          <w:szCs w:val="28"/>
        </w:rPr>
        <w:t>附件</w:t>
      </w:r>
      <w:r>
        <w:rPr>
          <w:rFonts w:hint="eastAsia" w:ascii="华文中宋" w:hAnsi="华文中宋" w:eastAsia="华文中宋"/>
          <w:b/>
          <w:bCs/>
          <w:sz w:val="28"/>
          <w:szCs w:val="28"/>
          <w:lang w:eastAsia="zh-CN"/>
        </w:rPr>
        <w:t>六</w:t>
      </w:r>
    </w:p>
    <w:p>
      <w:pPr>
        <w:spacing w:line="360" w:lineRule="auto"/>
        <w:jc w:val="center"/>
        <w:rPr>
          <w:rFonts w:ascii="华文中宋" w:hAnsi="华文中宋" w:eastAsia="华文中宋"/>
          <w:b/>
          <w:bCs/>
          <w:sz w:val="28"/>
          <w:szCs w:val="28"/>
        </w:rPr>
      </w:pPr>
      <w:r>
        <w:rPr>
          <w:rFonts w:hint="eastAsia" w:ascii="华文中宋" w:hAnsi="华文中宋" w:eastAsia="华文中宋"/>
          <w:b/>
          <w:bCs/>
          <w:sz w:val="28"/>
          <w:szCs w:val="28"/>
        </w:rPr>
        <w:t>电子技术与工程学院</w:t>
      </w:r>
      <w:r>
        <w:rPr>
          <w:rFonts w:hint="eastAsia" w:ascii="华文中宋" w:hAnsi="华文中宋" w:eastAsia="华文中宋"/>
          <w:b/>
          <w:bCs/>
          <w:sz w:val="28"/>
          <w:szCs w:val="28"/>
          <w:lang w:eastAsia="zh-CN"/>
        </w:rPr>
        <w:t>优秀团员</w:t>
      </w:r>
      <w:r>
        <w:rPr>
          <w:rFonts w:hint="eastAsia" w:ascii="华文中宋" w:hAnsi="华文中宋" w:eastAsia="华文中宋"/>
          <w:b/>
          <w:bCs/>
          <w:sz w:val="28"/>
          <w:szCs w:val="28"/>
        </w:rPr>
        <w:t>综合素质评分表</w:t>
      </w:r>
    </w:p>
    <w:tbl>
      <w:tblPr>
        <w:tblStyle w:val="2"/>
        <w:tblW w:w="15418" w:type="dxa"/>
        <w:jc w:val="center"/>
        <w:tblLayout w:type="fixed"/>
        <w:tblCellMar>
          <w:top w:w="0" w:type="dxa"/>
          <w:left w:w="0" w:type="dxa"/>
          <w:bottom w:w="0" w:type="dxa"/>
          <w:right w:w="0" w:type="dxa"/>
        </w:tblCellMar>
      </w:tblPr>
      <w:tblGrid>
        <w:gridCol w:w="1003"/>
        <w:gridCol w:w="1741"/>
        <w:gridCol w:w="1834"/>
        <w:gridCol w:w="561"/>
        <w:gridCol w:w="808"/>
        <w:gridCol w:w="1369"/>
        <w:gridCol w:w="1193"/>
        <w:gridCol w:w="1031"/>
        <w:gridCol w:w="7"/>
        <w:gridCol w:w="1106"/>
        <w:gridCol w:w="1294"/>
        <w:gridCol w:w="1256"/>
        <w:gridCol w:w="1200"/>
        <w:gridCol w:w="1015"/>
      </w:tblGrid>
      <w:tr>
        <w:tblPrEx>
          <w:tblCellMar>
            <w:top w:w="0" w:type="dxa"/>
            <w:left w:w="0" w:type="dxa"/>
            <w:bottom w:w="0" w:type="dxa"/>
            <w:right w:w="0" w:type="dxa"/>
          </w:tblCellMar>
        </w:tblPrEx>
        <w:trPr>
          <w:trHeight w:val="636" w:hRule="atLeast"/>
          <w:jc w:val="center"/>
        </w:trPr>
        <w:tc>
          <w:tcPr>
            <w:tcW w:w="5139" w:type="dxa"/>
            <w:gridSpan w:val="4"/>
            <w:tcBorders>
              <w:top w:val="nil"/>
              <w:left w:val="nil"/>
              <w:bottom w:val="single" w:color="000000" w:sz="4" w:space="0"/>
              <w:right w:val="nil"/>
            </w:tcBorders>
            <w:shd w:val="clear" w:color="auto" w:fill="auto"/>
            <w:noWrap/>
            <w:tcMar>
              <w:top w:w="10" w:type="dxa"/>
              <w:left w:w="10" w:type="dxa"/>
              <w:right w:w="10" w:type="dxa"/>
            </w:tcMar>
            <w:vAlign w:val="center"/>
          </w:tcPr>
          <w:p>
            <w:pPr>
              <w:spacing w:line="288" w:lineRule="auto"/>
              <w:jc w:val="left"/>
              <w:rPr>
                <w:rFonts w:ascii="仿宋" w:hAnsi="仿宋" w:eastAsia="仿宋"/>
                <w:sz w:val="28"/>
                <w:szCs w:val="28"/>
              </w:rPr>
            </w:pPr>
            <w:r>
              <w:rPr>
                <w:rFonts w:hint="eastAsia" w:ascii="仿宋" w:hAnsi="仿宋" w:eastAsia="仿宋"/>
                <w:sz w:val="28"/>
                <w:szCs w:val="28"/>
              </w:rPr>
              <w:t>团支部：</w:t>
            </w:r>
          </w:p>
        </w:tc>
        <w:tc>
          <w:tcPr>
            <w:tcW w:w="5514" w:type="dxa"/>
            <w:gridSpan w:val="6"/>
            <w:tcBorders>
              <w:top w:val="nil"/>
              <w:left w:val="nil"/>
              <w:bottom w:val="single" w:color="000000" w:sz="4" w:space="0"/>
              <w:right w:val="nil"/>
            </w:tcBorders>
            <w:shd w:val="clear" w:color="auto" w:fill="auto"/>
            <w:noWrap/>
            <w:tcMar>
              <w:top w:w="10" w:type="dxa"/>
              <w:left w:w="10" w:type="dxa"/>
              <w:right w:w="10" w:type="dxa"/>
            </w:tcMar>
            <w:vAlign w:val="center"/>
          </w:tcPr>
          <w:p>
            <w:pPr>
              <w:spacing w:line="288" w:lineRule="auto"/>
              <w:jc w:val="left"/>
              <w:rPr>
                <w:rFonts w:ascii="仿宋" w:hAnsi="仿宋" w:eastAsia="仿宋"/>
                <w:sz w:val="28"/>
                <w:szCs w:val="28"/>
              </w:rPr>
            </w:pPr>
            <w:r>
              <w:rPr>
                <w:rFonts w:hint="eastAsia" w:ascii="仿宋" w:hAnsi="仿宋" w:eastAsia="仿宋"/>
                <w:sz w:val="28"/>
                <w:szCs w:val="28"/>
              </w:rPr>
              <w:t>姓名：</w:t>
            </w:r>
          </w:p>
        </w:tc>
        <w:tc>
          <w:tcPr>
            <w:tcW w:w="4765" w:type="dxa"/>
            <w:gridSpan w:val="4"/>
            <w:tcBorders>
              <w:top w:val="nil"/>
              <w:left w:val="nil"/>
              <w:bottom w:val="single" w:color="000000" w:sz="4" w:space="0"/>
              <w:right w:val="nil"/>
            </w:tcBorders>
            <w:shd w:val="clear" w:color="auto" w:fill="auto"/>
            <w:noWrap/>
            <w:tcMar>
              <w:top w:w="10" w:type="dxa"/>
              <w:left w:w="10" w:type="dxa"/>
              <w:right w:w="10" w:type="dxa"/>
            </w:tcMar>
            <w:vAlign w:val="center"/>
          </w:tcPr>
          <w:p>
            <w:pPr>
              <w:spacing w:line="288" w:lineRule="auto"/>
              <w:jc w:val="left"/>
              <w:rPr>
                <w:rFonts w:ascii="仿宋" w:hAnsi="仿宋" w:eastAsia="仿宋"/>
                <w:sz w:val="28"/>
                <w:szCs w:val="28"/>
              </w:rPr>
            </w:pPr>
            <w:r>
              <w:rPr>
                <w:rFonts w:hint="eastAsia" w:ascii="仿宋" w:hAnsi="仿宋" w:eastAsia="仿宋"/>
                <w:sz w:val="28"/>
                <w:szCs w:val="28"/>
              </w:rPr>
              <w:t>学号：</w:t>
            </w:r>
          </w:p>
        </w:tc>
      </w:tr>
      <w:tr>
        <w:tblPrEx>
          <w:tblCellMar>
            <w:top w:w="0" w:type="dxa"/>
            <w:left w:w="0" w:type="dxa"/>
            <w:bottom w:w="0" w:type="dxa"/>
            <w:right w:w="0" w:type="dxa"/>
          </w:tblCellMar>
        </w:tblPrEx>
        <w:trPr>
          <w:trHeight w:val="280" w:hRule="atLeast"/>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rPr>
            </w:pPr>
            <w:r>
              <w:rPr>
                <w:rFonts w:hint="eastAsia" w:ascii="仿宋" w:hAnsi="仿宋" w:eastAsia="仿宋" w:cs="宋体"/>
                <w:color w:val="000000"/>
                <w:sz w:val="28"/>
                <w:szCs w:val="28"/>
              </w:rPr>
              <w:t>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志愿服务</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担任职务</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所获荣誉</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奖学金</w:t>
            </w:r>
          </w:p>
        </w:tc>
        <w:tc>
          <w:tcPr>
            <w:tcW w:w="333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青年大学习</w:t>
            </w:r>
          </w:p>
        </w:tc>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ascii="仿宋" w:hAnsi="仿宋" w:eastAsia="仿宋" w:cs="宋体"/>
                <w:color w:val="000000"/>
                <w:kern w:val="0"/>
                <w:sz w:val="28"/>
                <w:szCs w:val="28"/>
                <w:highlight w:val="none"/>
                <w:lang w:bidi="ar"/>
              </w:rPr>
            </w:pPr>
            <w:r>
              <w:rPr>
                <w:rFonts w:hint="eastAsia" w:ascii="仿宋" w:hAnsi="仿宋" w:eastAsia="仿宋" w:cs="宋体"/>
                <w:color w:val="000000"/>
                <w:kern w:val="0"/>
                <w:sz w:val="28"/>
                <w:szCs w:val="28"/>
                <w:highlight w:val="none"/>
                <w:lang w:bidi="ar"/>
              </w:rPr>
              <w:t>思政课成绩</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总计</w:t>
            </w:r>
          </w:p>
        </w:tc>
      </w:tr>
      <w:tr>
        <w:tblPrEx>
          <w:tblCellMar>
            <w:top w:w="0" w:type="dxa"/>
            <w:left w:w="0" w:type="dxa"/>
            <w:bottom w:w="0" w:type="dxa"/>
            <w:right w:w="0" w:type="dxa"/>
          </w:tblCellMar>
        </w:tblPrEx>
        <w:trPr>
          <w:trHeight w:val="312" w:hRule="atLeast"/>
          <w:jc w:val="center"/>
        </w:trPr>
        <w:tc>
          <w:tcPr>
            <w:tcW w:w="1003"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ascii="仿宋" w:hAnsi="仿宋" w:eastAsia="仿宋" w:cs="宋体"/>
                <w:color w:val="000000"/>
                <w:sz w:val="28"/>
                <w:szCs w:val="28"/>
              </w:rPr>
            </w:pPr>
            <w:r>
              <w:rPr>
                <w:rFonts w:hint="eastAsia" w:ascii="仿宋" w:hAnsi="仿宋" w:eastAsia="仿宋" w:cs="宋体"/>
                <w:color w:val="000000"/>
                <w:sz w:val="28"/>
                <w:szCs w:val="28"/>
              </w:rPr>
              <w:t>佐证</w:t>
            </w:r>
          </w:p>
        </w:tc>
        <w:tc>
          <w:tcPr>
            <w:tcW w:w="1741"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rPr>
            </w:pPr>
          </w:p>
        </w:tc>
        <w:tc>
          <w:tcPr>
            <w:tcW w:w="1834"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rPr>
            </w:pPr>
          </w:p>
        </w:tc>
        <w:tc>
          <w:tcPr>
            <w:tcW w:w="1369" w:type="dxa"/>
            <w:gridSpan w:val="2"/>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rPr>
            </w:pPr>
          </w:p>
        </w:tc>
        <w:tc>
          <w:tcPr>
            <w:tcW w:w="1369"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rPr>
            </w:pPr>
          </w:p>
        </w:tc>
        <w:tc>
          <w:tcPr>
            <w:tcW w:w="1193"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第十季</w:t>
            </w:r>
          </w:p>
          <w:p>
            <w:pPr>
              <w:spacing w:line="288" w:lineRule="auto"/>
              <w:jc w:val="center"/>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特辑1</w:t>
            </w:r>
          </w:p>
        </w:tc>
        <w:tc>
          <w:tcPr>
            <w:tcW w:w="1038" w:type="dxa"/>
            <w:gridSpan w:val="2"/>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rPr>
            </w:pPr>
            <w:r>
              <w:rPr>
                <w:rFonts w:hint="eastAsia" w:ascii="仿宋" w:hAnsi="仿宋" w:eastAsia="仿宋" w:cs="宋体"/>
                <w:color w:val="000000"/>
                <w:sz w:val="28"/>
                <w:szCs w:val="28"/>
                <w:lang w:val="en-US" w:eastAsia="zh-CN"/>
              </w:rPr>
              <w:t>第十季第四期</w:t>
            </w:r>
          </w:p>
        </w:tc>
        <w:tc>
          <w:tcPr>
            <w:tcW w:w="1106"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第十季第八期</w:t>
            </w:r>
          </w:p>
        </w:tc>
        <w:tc>
          <w:tcPr>
            <w:tcW w:w="1294"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top"/>
          </w:tcPr>
          <w:p>
            <w:pPr>
              <w:spacing w:line="288" w:lineRule="auto"/>
              <w:jc w:val="center"/>
              <w:rPr>
                <w:rFonts w:hint="eastAsia" w:ascii="仿宋" w:hAnsi="仿宋" w:eastAsia="仿宋" w:cs="宋体"/>
                <w:color w:val="000000"/>
                <w:sz w:val="24"/>
                <w:szCs w:val="24"/>
                <w:highlight w:val="none"/>
                <w:lang w:eastAsia="zh-CN"/>
              </w:rPr>
            </w:pPr>
          </w:p>
          <w:p>
            <w:pPr>
              <w:spacing w:line="288" w:lineRule="auto"/>
              <w:jc w:val="center"/>
              <w:rPr>
                <w:rFonts w:hint="eastAsia" w:ascii="仿宋" w:hAnsi="仿宋" w:eastAsia="仿宋" w:cs="宋体"/>
                <w:color w:val="000000"/>
                <w:sz w:val="28"/>
                <w:szCs w:val="28"/>
                <w:highlight w:val="none"/>
                <w:lang w:eastAsia="zh-CN"/>
              </w:rPr>
            </w:pPr>
            <w:r>
              <w:rPr>
                <w:rFonts w:hint="eastAsia" w:ascii="仿宋" w:hAnsi="仿宋" w:eastAsia="仿宋" w:cs="宋体"/>
                <w:color w:val="000000"/>
                <w:sz w:val="24"/>
                <w:szCs w:val="24"/>
                <w:lang w:eastAsia="zh-CN"/>
              </w:rPr>
              <w:t>毛泽东思想和中国特色社会主义理论体系概论</w:t>
            </w:r>
          </w:p>
        </w:tc>
        <w:tc>
          <w:tcPr>
            <w:tcW w:w="1256"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top"/>
          </w:tcPr>
          <w:p>
            <w:pPr>
              <w:spacing w:line="288" w:lineRule="auto"/>
              <w:ind w:firstLine="240" w:firstLineChars="100"/>
              <w:jc w:val="center"/>
              <w:rPr>
                <w:rFonts w:hint="eastAsia" w:ascii="仿宋" w:hAnsi="仿宋" w:eastAsia="仿宋" w:cs="宋体"/>
                <w:color w:val="000000"/>
                <w:sz w:val="24"/>
                <w:szCs w:val="24"/>
                <w:highlight w:val="none"/>
                <w:lang w:eastAsia="zh-CN"/>
              </w:rPr>
            </w:pPr>
          </w:p>
          <w:p>
            <w:pPr>
              <w:spacing w:line="288" w:lineRule="auto"/>
              <w:jc w:val="center"/>
              <w:rPr>
                <w:rFonts w:hint="eastAsia" w:ascii="仿宋" w:hAnsi="仿宋" w:eastAsia="仿宋" w:cs="宋体"/>
                <w:color w:val="000000"/>
                <w:sz w:val="28"/>
                <w:szCs w:val="28"/>
                <w:highlight w:val="none"/>
                <w:lang w:eastAsia="zh-CN"/>
              </w:rPr>
            </w:pPr>
            <w:r>
              <w:rPr>
                <w:rFonts w:hint="eastAsia" w:ascii="仿宋" w:hAnsi="仿宋" w:eastAsia="仿宋" w:cs="宋体"/>
                <w:color w:val="000000"/>
                <w:sz w:val="24"/>
                <w:szCs w:val="24"/>
                <w:lang w:eastAsia="zh-CN"/>
              </w:rPr>
              <w:t>思想道德修养与法律基础</w:t>
            </w:r>
          </w:p>
        </w:tc>
        <w:tc>
          <w:tcPr>
            <w:tcW w:w="1200"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top"/>
          </w:tcPr>
          <w:p>
            <w:pPr>
              <w:spacing w:line="288" w:lineRule="auto"/>
              <w:jc w:val="center"/>
              <w:rPr>
                <w:rFonts w:hint="eastAsia" w:ascii="仿宋" w:hAnsi="仿宋" w:eastAsia="仿宋" w:cs="宋体"/>
                <w:color w:val="000000"/>
                <w:sz w:val="28"/>
                <w:szCs w:val="28"/>
                <w:highlight w:val="none"/>
                <w:lang w:eastAsia="zh-CN"/>
              </w:rPr>
            </w:pPr>
          </w:p>
          <w:p>
            <w:pPr>
              <w:spacing w:line="288" w:lineRule="auto"/>
              <w:jc w:val="center"/>
              <w:rPr>
                <w:rFonts w:hint="eastAsia" w:ascii="仿宋" w:hAnsi="仿宋" w:eastAsia="仿宋" w:cs="宋体"/>
                <w:color w:val="000000"/>
                <w:sz w:val="28"/>
                <w:szCs w:val="28"/>
                <w:highlight w:val="none"/>
                <w:lang w:eastAsia="zh-CN"/>
              </w:rPr>
            </w:pPr>
            <w:r>
              <w:rPr>
                <w:rFonts w:hint="eastAsia" w:ascii="仿宋" w:hAnsi="仿宋" w:eastAsia="仿宋" w:cs="宋体"/>
                <w:color w:val="000000"/>
                <w:sz w:val="28"/>
                <w:szCs w:val="28"/>
                <w:highlight w:val="none"/>
                <w:lang w:eastAsia="zh-CN"/>
              </w:rPr>
              <w:t>平均分</w:t>
            </w:r>
          </w:p>
        </w:tc>
        <w:tc>
          <w:tcPr>
            <w:tcW w:w="1015"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rPr>
            </w:pPr>
          </w:p>
        </w:tc>
      </w:tr>
      <w:tr>
        <w:tblPrEx>
          <w:tblCellMar>
            <w:top w:w="0" w:type="dxa"/>
            <w:left w:w="0" w:type="dxa"/>
            <w:bottom w:w="0" w:type="dxa"/>
            <w:right w:w="0" w:type="dxa"/>
          </w:tblCellMar>
        </w:tblPrEx>
        <w:trPr>
          <w:trHeight w:val="312" w:hRule="atLeast"/>
          <w:jc w:val="center"/>
        </w:trPr>
        <w:tc>
          <w:tcPr>
            <w:tcW w:w="1003"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pPr>
          </w:p>
        </w:tc>
        <w:tc>
          <w:tcPr>
            <w:tcW w:w="1741"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pPr>
          </w:p>
        </w:tc>
        <w:tc>
          <w:tcPr>
            <w:tcW w:w="1834"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pPr>
          </w:p>
        </w:tc>
        <w:tc>
          <w:tcPr>
            <w:tcW w:w="1369" w:type="dxa"/>
            <w:gridSpan w:val="2"/>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pPr>
          </w:p>
        </w:tc>
        <w:tc>
          <w:tcPr>
            <w:tcW w:w="1369"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pPr>
          </w:p>
        </w:tc>
        <w:tc>
          <w:tcPr>
            <w:tcW w:w="1193"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pPr>
          </w:p>
        </w:tc>
        <w:tc>
          <w:tcPr>
            <w:tcW w:w="1038" w:type="dxa"/>
            <w:gridSpan w:val="2"/>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pPr>
          </w:p>
        </w:tc>
        <w:tc>
          <w:tcPr>
            <w:tcW w:w="1106"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pPr>
          </w:p>
        </w:tc>
        <w:tc>
          <w:tcPr>
            <w:tcW w:w="1294"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highlight w:val="yellow"/>
              </w:rPr>
            </w:pPr>
          </w:p>
        </w:tc>
        <w:tc>
          <w:tcPr>
            <w:tcW w:w="1256"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highlight w:val="yellow"/>
              </w:rPr>
            </w:pPr>
          </w:p>
        </w:tc>
        <w:tc>
          <w:tcPr>
            <w:tcW w:w="1200"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highlight w:val="yellow"/>
              </w:rPr>
            </w:pPr>
          </w:p>
        </w:tc>
        <w:tc>
          <w:tcPr>
            <w:tcW w:w="1015"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highlight w:val="yellow"/>
              </w:rPr>
            </w:pPr>
          </w:p>
        </w:tc>
      </w:tr>
      <w:tr>
        <w:tblPrEx>
          <w:tblCellMar>
            <w:top w:w="0" w:type="dxa"/>
            <w:left w:w="0" w:type="dxa"/>
            <w:bottom w:w="0" w:type="dxa"/>
            <w:right w:w="0" w:type="dxa"/>
          </w:tblCellMar>
        </w:tblPrEx>
        <w:trPr>
          <w:trHeight w:val="280" w:hRule="atLeast"/>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分数</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highlight w:val="yellow"/>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highlight w:val="yellow"/>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highlight w:val="yellow"/>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8"/>
                <w:szCs w:val="28"/>
              </w:rPr>
            </w:pPr>
          </w:p>
        </w:tc>
      </w:tr>
      <w:tr>
        <w:tblPrEx>
          <w:tblCellMar>
            <w:top w:w="0" w:type="dxa"/>
            <w:left w:w="0" w:type="dxa"/>
            <w:bottom w:w="0" w:type="dxa"/>
            <w:right w:w="0" w:type="dxa"/>
          </w:tblCellMar>
        </w:tblPrEx>
        <w:trPr>
          <w:trHeight w:val="280" w:hRule="atLeast"/>
          <w:jc w:val="center"/>
        </w:trPr>
        <w:tc>
          <w:tcPr>
            <w:tcW w:w="15418"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left"/>
              <w:rPr>
                <w:rFonts w:ascii="仿宋" w:hAnsi="仿宋" w:eastAsia="仿宋" w:cs="宋体"/>
                <w:color w:val="000000"/>
                <w:sz w:val="21"/>
                <w:szCs w:val="21"/>
              </w:rPr>
            </w:pPr>
            <w:r>
              <w:rPr>
                <w:rFonts w:hint="eastAsia" w:ascii="仿宋" w:hAnsi="仿宋" w:eastAsia="仿宋" w:cs="宋体"/>
                <w:color w:val="000000"/>
                <w:sz w:val="21"/>
                <w:szCs w:val="21"/>
              </w:rPr>
              <w:t>备注：</w:t>
            </w:r>
          </w:p>
          <w:p>
            <w:pPr>
              <w:numPr>
                <w:ilvl w:val="0"/>
                <w:numId w:val="1"/>
              </w:numPr>
              <w:spacing w:line="288" w:lineRule="auto"/>
              <w:jc w:val="left"/>
              <w:rPr>
                <w:rFonts w:ascii="仿宋" w:hAnsi="仿宋" w:eastAsia="仿宋" w:cs="宋体"/>
                <w:color w:val="000000"/>
                <w:sz w:val="21"/>
                <w:szCs w:val="21"/>
              </w:rPr>
            </w:pPr>
            <w:r>
              <w:rPr>
                <w:rFonts w:hint="eastAsia" w:ascii="仿宋" w:hAnsi="仿宋" w:eastAsia="仿宋" w:cs="宋体"/>
                <w:color w:val="000000"/>
                <w:sz w:val="21"/>
                <w:szCs w:val="21"/>
              </w:rPr>
              <w:t>每一类别志愿服务（第三届进博会,抗疫志愿服务,中福会少年宫,奉贤区图书馆,上海自然博物馆,上海科技馆,导生,</w:t>
            </w:r>
            <w:r>
              <w:rPr>
                <w:rFonts w:ascii="仿宋" w:hAnsi="仿宋" w:eastAsia="仿宋"/>
                <w:color w:val="000000"/>
                <w:sz w:val="21"/>
                <w:szCs w:val="21"/>
              </w:rPr>
              <w:t>306</w:t>
            </w:r>
            <w:r>
              <w:rPr>
                <w:rFonts w:hint="eastAsia" w:ascii="仿宋" w:hAnsi="仿宋" w:eastAsia="仿宋" w:cs="宋体"/>
                <w:color w:val="000000"/>
                <w:sz w:val="21"/>
                <w:szCs w:val="21"/>
              </w:rPr>
              <w:t>办公室值班,其他）5分，分数可累加；</w:t>
            </w:r>
          </w:p>
          <w:p>
            <w:pPr>
              <w:numPr>
                <w:ilvl w:val="0"/>
                <w:numId w:val="1"/>
              </w:numPr>
              <w:spacing w:line="288" w:lineRule="auto"/>
              <w:jc w:val="left"/>
              <w:rPr>
                <w:rFonts w:ascii="仿宋" w:hAnsi="仿宋" w:eastAsia="仿宋" w:cs="宋体"/>
                <w:color w:val="000000"/>
                <w:sz w:val="21"/>
                <w:szCs w:val="21"/>
              </w:rPr>
            </w:pPr>
            <w:r>
              <w:rPr>
                <w:rFonts w:hint="eastAsia" w:ascii="仿宋" w:hAnsi="仿宋" w:eastAsia="仿宋" w:cs="宋体"/>
                <w:color w:val="000000"/>
                <w:sz w:val="21"/>
                <w:szCs w:val="21"/>
              </w:rPr>
              <w:t>每担任一项职务得5分，分数可累加：</w:t>
            </w:r>
          </w:p>
          <w:p>
            <w:pPr>
              <w:numPr>
                <w:ilvl w:val="0"/>
                <w:numId w:val="1"/>
              </w:numPr>
              <w:spacing w:line="288" w:lineRule="auto"/>
              <w:jc w:val="left"/>
              <w:rPr>
                <w:rFonts w:ascii="仿宋" w:hAnsi="仿宋" w:eastAsia="仿宋" w:cs="宋体"/>
                <w:color w:val="000000"/>
                <w:sz w:val="21"/>
                <w:szCs w:val="21"/>
                <w:highlight w:val="none"/>
              </w:rPr>
            </w:pPr>
            <w:r>
              <w:rPr>
                <w:rFonts w:hint="eastAsia" w:ascii="仿宋" w:hAnsi="仿宋" w:eastAsia="仿宋" w:cs="宋体"/>
                <w:color w:val="000000"/>
                <w:sz w:val="21"/>
                <w:szCs w:val="21"/>
                <w:highlight w:val="none"/>
              </w:rPr>
              <w:t>所获荣誉包括国家级、市级、区级、校级、院级；其中国家级50分，市级30分，区级2</w:t>
            </w:r>
            <w:r>
              <w:rPr>
                <w:rFonts w:ascii="仿宋" w:hAnsi="仿宋" w:eastAsia="仿宋" w:cs="宋体"/>
                <w:color w:val="000000"/>
                <w:sz w:val="21"/>
                <w:szCs w:val="21"/>
                <w:highlight w:val="none"/>
              </w:rPr>
              <w:t>0</w:t>
            </w:r>
            <w:r>
              <w:rPr>
                <w:rFonts w:hint="eastAsia" w:ascii="仿宋" w:hAnsi="仿宋" w:eastAsia="仿宋" w:cs="宋体"/>
                <w:color w:val="000000"/>
                <w:sz w:val="21"/>
                <w:szCs w:val="21"/>
                <w:highlight w:val="none"/>
              </w:rPr>
              <w:t>分，校级10分，院级10分，分数可累加；</w:t>
            </w:r>
          </w:p>
          <w:p>
            <w:pPr>
              <w:numPr>
                <w:ilvl w:val="0"/>
                <w:numId w:val="1"/>
              </w:numPr>
              <w:spacing w:line="288" w:lineRule="auto"/>
              <w:jc w:val="left"/>
              <w:rPr>
                <w:rFonts w:ascii="仿宋" w:hAnsi="仿宋" w:eastAsia="仿宋" w:cs="宋体"/>
                <w:color w:val="000000"/>
                <w:sz w:val="21"/>
                <w:szCs w:val="21"/>
                <w:highlight w:val="none"/>
              </w:rPr>
            </w:pPr>
            <w:r>
              <w:rPr>
                <w:rFonts w:hint="eastAsia" w:ascii="仿宋" w:hAnsi="仿宋" w:eastAsia="仿宋" w:cs="宋体"/>
                <w:color w:val="000000"/>
                <w:sz w:val="21"/>
                <w:szCs w:val="21"/>
                <w:highlight w:val="none"/>
              </w:rPr>
              <w:t>奖学金包括国家奖学金</w:t>
            </w:r>
            <w:r>
              <w:rPr>
                <w:rFonts w:hint="eastAsia" w:ascii="仿宋" w:hAnsi="仿宋" w:eastAsia="仿宋" w:cs="宋体"/>
                <w:color w:val="000000"/>
                <w:sz w:val="21"/>
                <w:szCs w:val="21"/>
                <w:highlight w:val="none"/>
                <w:lang w:eastAsia="zh-CN"/>
              </w:rPr>
              <w:t>（不含国家励志奖学金）</w:t>
            </w:r>
            <w:r>
              <w:rPr>
                <w:rFonts w:hint="eastAsia" w:ascii="仿宋" w:hAnsi="仿宋" w:eastAsia="仿宋" w:cs="宋体"/>
                <w:color w:val="000000"/>
                <w:sz w:val="21"/>
                <w:szCs w:val="21"/>
                <w:highlight w:val="none"/>
              </w:rPr>
              <w:t>、上海市奖学金、学校综合奖学金、永福奖学金和徐渭岳奖学金；其中国家奖学金5</w:t>
            </w:r>
            <w:r>
              <w:rPr>
                <w:rFonts w:ascii="仿宋" w:hAnsi="仿宋" w:eastAsia="仿宋" w:cs="宋体"/>
                <w:color w:val="000000"/>
                <w:sz w:val="21"/>
                <w:szCs w:val="21"/>
                <w:highlight w:val="none"/>
              </w:rPr>
              <w:t>0</w:t>
            </w:r>
            <w:r>
              <w:rPr>
                <w:rFonts w:hint="eastAsia" w:ascii="仿宋" w:hAnsi="仿宋" w:eastAsia="仿宋" w:cs="宋体"/>
                <w:color w:val="000000"/>
                <w:sz w:val="21"/>
                <w:szCs w:val="21"/>
                <w:highlight w:val="none"/>
              </w:rPr>
              <w:t>分，上海市奖学金30分，校级一等奖学金15分，校级二等奖学金10分，校级三等奖学金8分，校级单项奖学金5分，永福奖学金2</w:t>
            </w:r>
            <w:r>
              <w:rPr>
                <w:rFonts w:ascii="仿宋" w:hAnsi="仿宋" w:eastAsia="仿宋" w:cs="宋体"/>
                <w:color w:val="000000"/>
                <w:sz w:val="21"/>
                <w:szCs w:val="21"/>
                <w:highlight w:val="none"/>
              </w:rPr>
              <w:t>0</w:t>
            </w:r>
            <w:r>
              <w:rPr>
                <w:rFonts w:hint="eastAsia" w:ascii="仿宋" w:hAnsi="仿宋" w:eastAsia="仿宋" w:cs="宋体"/>
                <w:color w:val="000000"/>
                <w:sz w:val="21"/>
                <w:szCs w:val="21"/>
                <w:highlight w:val="none"/>
              </w:rPr>
              <w:t>分，徐渭岳奖学金1</w:t>
            </w:r>
            <w:r>
              <w:rPr>
                <w:rFonts w:ascii="仿宋" w:hAnsi="仿宋" w:eastAsia="仿宋" w:cs="宋体"/>
                <w:color w:val="000000"/>
                <w:sz w:val="21"/>
                <w:szCs w:val="21"/>
                <w:highlight w:val="none"/>
              </w:rPr>
              <w:t>5</w:t>
            </w:r>
            <w:r>
              <w:rPr>
                <w:rFonts w:hint="eastAsia" w:ascii="仿宋" w:hAnsi="仿宋" w:eastAsia="仿宋" w:cs="宋体"/>
                <w:color w:val="000000"/>
                <w:sz w:val="21"/>
                <w:szCs w:val="21"/>
                <w:highlight w:val="none"/>
              </w:rPr>
              <w:t>分，分数可累加</w:t>
            </w:r>
            <w:r>
              <w:rPr>
                <w:rFonts w:hint="eastAsia" w:ascii="仿宋" w:hAnsi="仿宋" w:eastAsia="仿宋" w:cs="宋体"/>
                <w:color w:val="000000"/>
                <w:sz w:val="21"/>
                <w:szCs w:val="21"/>
                <w:highlight w:val="none"/>
                <w:lang w:eastAsia="zh-CN"/>
              </w:rPr>
              <w:t>，未评奖学金的年级这一栏可忽略</w:t>
            </w:r>
            <w:r>
              <w:rPr>
                <w:rFonts w:hint="eastAsia" w:ascii="仿宋" w:hAnsi="仿宋" w:eastAsia="仿宋" w:cs="宋体"/>
                <w:color w:val="000000"/>
                <w:sz w:val="21"/>
                <w:szCs w:val="21"/>
                <w:highlight w:val="none"/>
              </w:rPr>
              <w:t>；</w:t>
            </w:r>
          </w:p>
          <w:p>
            <w:pPr>
              <w:numPr>
                <w:ilvl w:val="0"/>
                <w:numId w:val="1"/>
              </w:numPr>
              <w:spacing w:line="288" w:lineRule="auto"/>
              <w:jc w:val="left"/>
              <w:rPr>
                <w:rFonts w:ascii="仿宋" w:hAnsi="仿宋" w:eastAsia="仿宋" w:cs="宋体"/>
                <w:color w:val="000000"/>
                <w:sz w:val="21"/>
                <w:szCs w:val="21"/>
              </w:rPr>
            </w:pPr>
            <w:r>
              <w:rPr>
                <w:rFonts w:hint="eastAsia" w:ascii="仿宋" w:hAnsi="仿宋" w:eastAsia="仿宋" w:cs="宋体"/>
                <w:color w:val="000000"/>
                <w:sz w:val="21"/>
                <w:szCs w:val="21"/>
                <w:lang w:eastAsia="zh-CN"/>
              </w:rPr>
              <w:t>本次评选抽取青年大学习</w:t>
            </w:r>
            <w:r>
              <w:rPr>
                <w:rFonts w:hint="eastAsia" w:ascii="仿宋" w:hAnsi="仿宋" w:eastAsia="仿宋" w:cs="宋体"/>
                <w:color w:val="000000"/>
                <w:sz w:val="21"/>
                <w:szCs w:val="21"/>
                <w:highlight w:val="none"/>
                <w:lang w:val="en-US" w:eastAsia="zh-CN"/>
              </w:rPr>
              <w:t>2020-2021学年学院完成率最低的学习情况进行统计</w:t>
            </w:r>
            <w:r>
              <w:rPr>
                <w:rFonts w:hint="eastAsia" w:ascii="仿宋" w:hAnsi="仿宋" w:eastAsia="仿宋" w:cs="宋体"/>
                <w:color w:val="000000"/>
                <w:sz w:val="21"/>
                <w:szCs w:val="21"/>
                <w:lang w:val="en-US" w:eastAsia="zh-CN"/>
              </w:rPr>
              <w:t>，</w:t>
            </w:r>
            <w:r>
              <w:rPr>
                <w:rFonts w:hint="eastAsia" w:ascii="仿宋" w:hAnsi="仿宋" w:eastAsia="仿宋" w:cs="宋体"/>
                <w:color w:val="000000"/>
                <w:sz w:val="21"/>
                <w:szCs w:val="21"/>
                <w:lang w:eastAsia="zh-CN"/>
              </w:rPr>
              <w:t>如有</w:t>
            </w:r>
            <w:r>
              <w:rPr>
                <w:rFonts w:hint="eastAsia" w:ascii="仿宋" w:hAnsi="仿宋" w:eastAsia="仿宋" w:cs="宋体"/>
                <w:color w:val="000000"/>
                <w:sz w:val="21"/>
                <w:szCs w:val="21"/>
                <w:lang w:val="en-US" w:eastAsia="zh-CN"/>
              </w:rPr>
              <w:t>1次</w:t>
            </w:r>
            <w:r>
              <w:rPr>
                <w:rFonts w:hint="eastAsia" w:ascii="仿宋" w:hAnsi="仿宋" w:eastAsia="仿宋" w:cs="宋体"/>
                <w:color w:val="000000"/>
                <w:sz w:val="21"/>
                <w:szCs w:val="21"/>
              </w:rPr>
              <w:t>未参加青年大学习者直接取消</w:t>
            </w:r>
            <w:r>
              <w:rPr>
                <w:rFonts w:hint="eastAsia" w:ascii="仿宋" w:hAnsi="仿宋" w:eastAsia="仿宋" w:cs="宋体"/>
                <w:color w:val="000000"/>
                <w:sz w:val="21"/>
                <w:szCs w:val="21"/>
                <w:lang w:eastAsia="zh-CN"/>
              </w:rPr>
              <w:t>参评</w:t>
            </w:r>
            <w:r>
              <w:rPr>
                <w:rFonts w:hint="eastAsia" w:ascii="仿宋" w:hAnsi="仿宋" w:eastAsia="仿宋" w:cs="宋体"/>
                <w:color w:val="000000"/>
                <w:sz w:val="21"/>
                <w:szCs w:val="21"/>
              </w:rPr>
              <w:t>资格,符合条件者得1</w:t>
            </w:r>
            <w:r>
              <w:rPr>
                <w:rFonts w:ascii="仿宋" w:hAnsi="仿宋" w:eastAsia="仿宋" w:cs="宋体"/>
                <w:color w:val="000000"/>
                <w:sz w:val="21"/>
                <w:szCs w:val="21"/>
              </w:rPr>
              <w:t>0</w:t>
            </w:r>
            <w:r>
              <w:rPr>
                <w:rFonts w:hint="eastAsia" w:ascii="仿宋" w:hAnsi="仿宋" w:eastAsia="仿宋" w:cs="宋体"/>
                <w:color w:val="000000"/>
                <w:sz w:val="21"/>
                <w:szCs w:val="21"/>
              </w:rPr>
              <w:t>分；</w:t>
            </w:r>
          </w:p>
          <w:p>
            <w:pPr>
              <w:numPr>
                <w:ilvl w:val="0"/>
                <w:numId w:val="1"/>
              </w:numPr>
              <w:spacing w:line="288" w:lineRule="auto"/>
              <w:jc w:val="left"/>
              <w:rPr>
                <w:rFonts w:ascii="仿宋" w:hAnsi="仿宋" w:eastAsia="仿宋" w:cs="宋体"/>
                <w:color w:val="000000"/>
                <w:sz w:val="21"/>
                <w:szCs w:val="21"/>
              </w:rPr>
            </w:pPr>
            <w:r>
              <w:rPr>
                <w:rFonts w:hint="eastAsia" w:ascii="仿宋" w:hAnsi="仿宋" w:eastAsia="仿宋" w:cs="宋体"/>
                <w:color w:val="000000"/>
                <w:sz w:val="21"/>
                <w:szCs w:val="21"/>
              </w:rPr>
              <w:t>思政课</w:t>
            </w:r>
            <w:r>
              <w:rPr>
                <w:rFonts w:hint="eastAsia" w:ascii="仿宋" w:hAnsi="仿宋" w:eastAsia="仿宋" w:cs="宋体"/>
                <w:color w:val="000000"/>
                <w:sz w:val="21"/>
                <w:szCs w:val="21"/>
                <w:lang w:eastAsia="zh-CN"/>
              </w:rPr>
              <w:t>主要包括思想道德修养与法律基础和毛泽东思想和中国特色社会主义理论体系概论，取</w:t>
            </w:r>
            <w:r>
              <w:rPr>
                <w:rFonts w:hint="eastAsia" w:ascii="仿宋" w:hAnsi="仿宋" w:eastAsia="仿宋" w:cs="宋体"/>
                <w:color w:val="000000"/>
                <w:sz w:val="21"/>
                <w:szCs w:val="21"/>
                <w:lang w:val="en-US" w:eastAsia="zh-CN"/>
              </w:rPr>
              <w:t>2020-2021学年第一</w:t>
            </w:r>
            <w:r>
              <w:rPr>
                <w:rFonts w:hint="eastAsia" w:ascii="仿宋" w:hAnsi="仿宋" w:eastAsia="仿宋" w:cs="宋体"/>
                <w:color w:val="000000"/>
                <w:sz w:val="21"/>
                <w:szCs w:val="21"/>
                <w:lang w:eastAsia="zh-CN"/>
              </w:rPr>
              <w:t>学期两门课的平均值，</w:t>
            </w:r>
            <w:r>
              <w:rPr>
                <w:rFonts w:hint="eastAsia" w:ascii="仿宋" w:hAnsi="仿宋" w:eastAsia="仿宋" w:cs="宋体"/>
                <w:color w:val="000000"/>
                <w:sz w:val="21"/>
                <w:szCs w:val="21"/>
              </w:rPr>
              <w:t>分数90分以上10分，80分以上5分</w:t>
            </w:r>
            <w:r>
              <w:rPr>
                <w:rFonts w:hint="eastAsia" w:ascii="仿宋" w:hAnsi="仿宋" w:eastAsia="仿宋" w:cs="宋体"/>
                <w:color w:val="000000"/>
                <w:sz w:val="21"/>
                <w:szCs w:val="21"/>
                <w:lang w:eastAsia="zh-CN"/>
              </w:rPr>
              <w:t>；</w:t>
            </w:r>
          </w:p>
          <w:p>
            <w:pPr>
              <w:numPr>
                <w:ilvl w:val="0"/>
                <w:numId w:val="1"/>
              </w:numPr>
              <w:spacing w:line="288" w:lineRule="auto"/>
              <w:jc w:val="left"/>
              <w:rPr>
                <w:rFonts w:ascii="仿宋" w:hAnsi="仿宋" w:eastAsia="仿宋" w:cs="宋体"/>
                <w:color w:val="000000"/>
                <w:sz w:val="24"/>
              </w:rPr>
            </w:pPr>
            <w:r>
              <w:rPr>
                <w:rFonts w:hint="eastAsia" w:ascii="仿宋" w:hAnsi="仿宋" w:eastAsia="仿宋" w:cs="宋体"/>
                <w:color w:val="000000"/>
                <w:sz w:val="21"/>
                <w:szCs w:val="21"/>
                <w:lang w:eastAsia="zh-CN"/>
              </w:rPr>
              <w:t>如有任何课程重修直接取消参评资格。</w:t>
            </w:r>
          </w:p>
        </w:tc>
      </w:tr>
    </w:tbl>
    <w:p>
      <w:pPr>
        <w:rPr>
          <w:rFonts w:ascii="仿宋" w:hAnsi="仿宋" w:eastAsia="仿宋" w:cs="宋体"/>
          <w:b/>
          <w:bCs/>
          <w:color w:val="000000"/>
          <w:sz w:val="21"/>
          <w:szCs w:val="21"/>
        </w:rPr>
      </w:pPr>
      <w:r>
        <w:rPr>
          <w:rFonts w:hint="eastAsia" w:ascii="仿宋" w:hAnsi="仿宋" w:eastAsia="仿宋" w:cs="宋体"/>
          <w:b/>
          <w:bCs/>
          <w:color w:val="000000"/>
          <w:sz w:val="21"/>
          <w:szCs w:val="21"/>
        </w:rPr>
        <w:t>民主评议小组成员签名：</w:t>
      </w:r>
    </w:p>
    <w:p>
      <w:pPr>
        <w:wordWrap w:val="0"/>
        <w:ind w:firstLine="12438" w:firstLineChars="5900"/>
        <w:jc w:val="both"/>
        <w:rPr>
          <w:rFonts w:hint="eastAsia"/>
          <w:sz w:val="21"/>
          <w:szCs w:val="21"/>
        </w:rPr>
      </w:pPr>
      <w:bookmarkStart w:id="0" w:name="_GoBack"/>
      <w:bookmarkEnd w:id="0"/>
      <w:r>
        <w:rPr>
          <w:rFonts w:hint="eastAsia" w:ascii="仿宋" w:hAnsi="仿宋" w:eastAsia="仿宋" w:cs="宋体"/>
          <w:b/>
          <w:bCs/>
          <w:color w:val="000000"/>
          <w:sz w:val="21"/>
          <w:szCs w:val="21"/>
        </w:rPr>
        <w:t xml:space="preserve">年 </w:t>
      </w:r>
      <w:r>
        <w:rPr>
          <w:rFonts w:ascii="仿宋" w:hAnsi="仿宋" w:eastAsia="仿宋" w:cs="宋体"/>
          <w:b/>
          <w:bCs/>
          <w:color w:val="000000"/>
          <w:sz w:val="21"/>
          <w:szCs w:val="21"/>
        </w:rPr>
        <w:t xml:space="preserve">  </w:t>
      </w:r>
      <w:r>
        <w:rPr>
          <w:rFonts w:hint="eastAsia" w:ascii="仿宋" w:hAnsi="仿宋" w:eastAsia="仿宋" w:cs="宋体"/>
          <w:b/>
          <w:bCs/>
          <w:color w:val="000000"/>
          <w:sz w:val="21"/>
          <w:szCs w:val="21"/>
        </w:rPr>
        <w:t xml:space="preserve">月 </w:t>
      </w:r>
      <w:r>
        <w:rPr>
          <w:rFonts w:ascii="仿宋" w:hAnsi="仿宋" w:eastAsia="仿宋" w:cs="宋体"/>
          <w:b/>
          <w:bCs/>
          <w:color w:val="000000"/>
          <w:sz w:val="21"/>
          <w:szCs w:val="21"/>
        </w:rPr>
        <w:t xml:space="preserve">  </w:t>
      </w:r>
      <w:r>
        <w:rPr>
          <w:rFonts w:hint="eastAsia" w:ascii="仿宋" w:hAnsi="仿宋" w:eastAsia="仿宋" w:cs="宋体"/>
          <w:b/>
          <w:bCs/>
          <w:color w:val="000000"/>
          <w:sz w:val="21"/>
          <w:szCs w:val="21"/>
        </w:rPr>
        <w:t>日</w:t>
      </w:r>
    </w:p>
    <w:p/>
    <w:sectPr>
      <w:pgSz w:w="16838" w:h="11906" w:orient="landscape"/>
      <w:pgMar w:top="851" w:right="1440" w:bottom="993"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0C02B"/>
    <w:multiLevelType w:val="singleLevel"/>
    <w:tmpl w:val="06F0C02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32DDC"/>
    <w:rsid w:val="0BC108BE"/>
    <w:rsid w:val="176D22DC"/>
    <w:rsid w:val="1A7A08EA"/>
    <w:rsid w:val="1C432DDC"/>
    <w:rsid w:val="43452DBD"/>
    <w:rsid w:val="5B900B54"/>
    <w:rsid w:val="68B264A1"/>
    <w:rsid w:val="6A6320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2021-03-31T06:13:00Z</dcterms:created>
  <dc:creator>dangan</dc:creator>
  <cp:lastModifiedBy>dangan</cp:lastModifiedBy>
  <dcterms:modified xsi:type="dcterms:W3CDTF">2021-03-31T07:42:05Z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D956CEB389A94053A479C3D6A5473EF0</vt:lpwstr>
  </property>
</Properties>
</file>